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46D1" w:rsidRDefault="00A7362D">
      <w:pPr>
        <w:pStyle w:val="af4"/>
        <w:contextualSpacing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00075" cy="65589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/>
                    </pic:cNvPicPr>
                  </pic:nvPicPr>
                  <pic:blipFill>
                    <a:blip r:embed="rId7"/>
                    <a:stretch/>
                  </pic:blipFill>
                  <pic:spPr bwMode="auto">
                    <a:xfrm>
                      <a:off x="0" y="0"/>
                      <a:ext cx="600075" cy="65589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246D1" w:rsidRDefault="001246D1">
      <w:pPr>
        <w:pStyle w:val="af4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246D1" w:rsidRDefault="00A7362D">
      <w:pPr>
        <w:pStyle w:val="af4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ФЕДЕРАЛЬНАЯ СЛУЖБА ПО НАДЗОРУ В СФЕРЕ ТРАНСПОРТА</w:t>
      </w:r>
    </w:p>
    <w:p w:rsidR="001246D1" w:rsidRDefault="00A7362D">
      <w:pPr>
        <w:spacing w:after="0" w:line="240" w:lineRule="auto"/>
        <w:contextualSpacing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МТУ Ространснадзора по ЮФО</w:t>
      </w: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A7362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6"/>
          <w:szCs w:val="28"/>
        </w:rPr>
      </w:pPr>
      <w:r>
        <w:rPr>
          <w:rFonts w:ascii="Times New Roman" w:hAnsi="Times New Roman" w:cs="Times New Roman"/>
          <w:b/>
          <w:sz w:val="36"/>
          <w:szCs w:val="28"/>
        </w:rPr>
        <w:t>Доклад на тему:</w:t>
      </w:r>
    </w:p>
    <w:p w:rsidR="001246D1" w:rsidRDefault="00A7362D">
      <w:pPr>
        <w:spacing w:after="0" w:line="240" w:lineRule="auto"/>
        <w:contextualSpacing/>
        <w:jc w:val="center"/>
        <w:rPr>
          <w:rFonts w:ascii="Times New Roman" w:hAnsi="Times New Roman" w:cs="Times New Roman"/>
          <w:sz w:val="36"/>
          <w:szCs w:val="28"/>
        </w:rPr>
      </w:pPr>
      <w:r>
        <w:rPr>
          <w:rFonts w:ascii="Times New Roman" w:hAnsi="Times New Roman" w:cs="Times New Roman"/>
          <w:sz w:val="36"/>
          <w:szCs w:val="28"/>
        </w:rPr>
        <w:t>"</w:t>
      </w:r>
      <w:bookmarkStart w:id="0" w:name="_GoBack"/>
      <w:r>
        <w:rPr>
          <w:rFonts w:ascii="Times New Roman" w:hAnsi="Times New Roman" w:cs="Times New Roman"/>
          <w:sz w:val="36"/>
          <w:szCs w:val="28"/>
        </w:rPr>
        <w:t>Анализ правоприменительной практики и аварийности в зоне ответственности МТУ Ространснадзора по ЮФО в области торгового мореплавания и внутреннего водного</w:t>
      </w:r>
      <w:r w:rsidR="00BD5CD8">
        <w:rPr>
          <w:rFonts w:ascii="Times New Roman" w:hAnsi="Times New Roman" w:cs="Times New Roman"/>
          <w:sz w:val="36"/>
          <w:szCs w:val="28"/>
        </w:rPr>
        <w:t xml:space="preserve"> транспорта за 2025 год</w:t>
      </w:r>
      <w:bookmarkEnd w:id="0"/>
      <w:r>
        <w:rPr>
          <w:rFonts w:ascii="Times New Roman" w:hAnsi="Times New Roman" w:cs="Times New Roman"/>
          <w:sz w:val="36"/>
          <w:szCs w:val="28"/>
        </w:rPr>
        <w:t>"</w:t>
      </w: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A7362D">
      <w:pPr>
        <w:spacing w:after="0" w:line="240" w:lineRule="auto"/>
        <w:ind w:left="4678"/>
        <w:contextualSpacing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Докладчик:</w:t>
      </w:r>
    </w:p>
    <w:p w:rsidR="001246D1" w:rsidRDefault="00A7362D">
      <w:pPr>
        <w:spacing w:after="0" w:line="240" w:lineRule="auto"/>
        <w:ind w:left="46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Начальник отдела надзора за судоходством и мореплаванием, учета и расследования транспортных происшествий на водном транспорте МТУ Ространснадзора по ЮФО</w:t>
      </w:r>
    </w:p>
    <w:p w:rsidR="001246D1" w:rsidRDefault="00A7362D">
      <w:pPr>
        <w:spacing w:after="0" w:line="240" w:lineRule="auto"/>
        <w:ind w:left="4678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Константинов Александр Дмитриевич</w:t>
      </w:r>
    </w:p>
    <w:p w:rsidR="001246D1" w:rsidRPr="00BD5CD8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jc w:val="center"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46D1" w:rsidRDefault="001246D1">
      <w:pPr>
        <w:spacing w:after="0" w:line="240" w:lineRule="auto"/>
        <w:contextualSpacing/>
        <w:rPr>
          <w:rFonts w:ascii="Times New Roman" w:hAnsi="Times New Roman" w:cs="Times New Roman"/>
          <w:sz w:val="28"/>
          <w:szCs w:val="28"/>
        </w:rPr>
      </w:pPr>
    </w:p>
    <w:p w:rsidR="001246D1" w:rsidRDefault="00A7362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г. Ростов-на-Дону</w:t>
      </w:r>
    </w:p>
    <w:p w:rsidR="001246D1" w:rsidRDefault="00A7362D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2025</w:t>
      </w:r>
      <w:r>
        <w:rPr>
          <w:rFonts w:ascii="Times New Roman" w:hAnsi="Times New Roman" w:cs="Times New Roman"/>
          <w:sz w:val="28"/>
          <w:szCs w:val="28"/>
        </w:rPr>
        <w:br w:type="page" w:clear="all"/>
      </w:r>
    </w:p>
    <w:p w:rsidR="001246D1" w:rsidRDefault="00A7362D">
      <w:pPr>
        <w:spacing w:after="0" w:line="276" w:lineRule="auto"/>
        <w:contextualSpacing/>
        <w:jc w:val="center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Добрый день! Уважаемые коллеги!</w:t>
      </w:r>
    </w:p>
    <w:p w:rsidR="001246D1" w:rsidRDefault="001246D1">
      <w:pPr>
        <w:spacing w:after="0" w:line="276" w:lineRule="auto"/>
        <w:contextualSpacing/>
        <w:jc w:val="both"/>
      </w:pP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Предлагаю Вашему вниманию прослушать доклад на тему «Анализ правоприменительной практики и аварийности в зоне ответственности МТУ Ространснадзора по ЮФО в области торгового мореплавания и внутреннего водного транспорта за истекший период 2025 года»</w:t>
      </w:r>
    </w:p>
    <w:p w:rsidR="001246D1" w:rsidRDefault="00CD72C5">
      <w:pPr>
        <w:spacing w:after="0" w:line="276" w:lineRule="auto"/>
        <w:contextualSpacing/>
        <w:jc w:val="both"/>
      </w:pPr>
      <w:r w:rsidRPr="00CD72C5">
        <w:rPr>
          <w:noProof/>
          <w:lang w:eastAsia="ru-RU"/>
        </w:rPr>
        <w:drawing>
          <wp:inline distT="0" distB="0" distL="0" distR="0" wp14:anchorId="03F82792" wp14:editId="6988B170">
            <wp:extent cx="5940425" cy="3341370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МТУ Ространснадзора по ЮФО (государственного морского и речного надзора) за истекший период 2025 года было проведено 3 плановых и 110 внеплановых контрольных (надзорных) мероприятий в отношении контролируемых лиц, осуществляющих деятельность в границах зоны ответственности Управления.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В рамках осуществления мероприятий без взаимодействия с юридическими лицами, индивидуальными предпринимателями Управлением было проведено: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- 375 наблюдений за соблюдением обязательных требований (мониторинг безопасности) и 254 выездных обследования.</w:t>
      </w:r>
    </w:p>
    <w:p w:rsidR="001246D1" w:rsidRDefault="00A7362D">
      <w:pPr>
        <w:spacing w:after="0" w:line="276" w:lineRule="auto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Кроме того, в рамках осуществления специального режима государственного контроля (надзора) МТУ Ространснадзора по ЮФО (Госморречнадзор) было проведено: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- 422 постоянных рейда, по результатам, которых в отношении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контролируемых лиц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допустивших нарушение обязательных требований было составлено 78 актов.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За истекший период 2025 года Управлением было проведено 2192 профилактических мероприятий из них: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объявлено 522 предостережений о недопустимости нарушений обязательных требований;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осуществлено 1619 консультирований контролируемых лиц;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и проведен 51 профилактический визит.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Управление наделено полномочия по рассмотрению материалов, содержащих сведения о возможных нарушениях требований законодательства, выявленных иными уполномоченными органами и переданными на рассмотрение по подведомственности в Управление</w:t>
      </w:r>
    </w:p>
    <w:p w:rsidR="001246D1" w:rsidRDefault="00A7362D">
      <w:pPr>
        <w:spacing w:after="0" w:line="276" w:lineRule="auto"/>
        <w:ind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Так, в рамках указанных мероприятий, в этом году было выявлено 1089 нарушений обязательных требований.</w:t>
      </w:r>
    </w:p>
    <w:p w:rsidR="00CD72C5" w:rsidRDefault="00CD72C5" w:rsidP="00CD72C5">
      <w:pPr>
        <w:spacing w:after="0" w:line="276" w:lineRule="auto"/>
        <w:contextualSpacing/>
        <w:jc w:val="both"/>
      </w:pPr>
      <w:r w:rsidRPr="00CD72C5">
        <w:rPr>
          <w:noProof/>
          <w:lang w:eastAsia="ru-RU"/>
        </w:rPr>
        <w:drawing>
          <wp:inline distT="0" distB="0" distL="0" distR="0" wp14:anchorId="1117688F" wp14:editId="10602AA4">
            <wp:extent cx="5940425" cy="3341370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По фактам выявленных нарушений должностными лицами Управления было составлено 214 протоколов об административных правонарушениях. Кроме того, уполномоченными органами государственного контроля и органами прокуратуры было возбуждено и направлено в адрес Управления 212 дел об административных правонарушениях.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По результатам рассмотрения указанных административных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дел  было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вынесено 363 постановления о привлечении виновных лиц к административной ответственности.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Административное наказание является средством государственного реагирования на совершенное административное правонарушение и как таковое применяется в целях предупреждения совершения новых административных правонарушений, как самим правонарушителем, так и другими лицами при этом размеры административных штрафов должны соотноситься с характером и степенью общественной опасности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>административных правонарушений и обладать разумным сдерживающим эффектом.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Положением статьи 4.1.1 КоАП РФ определены условия, при которых возможна замена административного наказания в виде административного штрафа на предупреждение, даже если соответствующей статьей раздела II КоАП РФ наложение административного наказания в виде предупреждения не предусмотрено.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Так, замена штрафа предупреждением возможно при совокупности следующих условий: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лицо, подлежащее ответственности, является субъектом малого и среднего предпринимательства (в том числе должностные лица, таких организаций);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административное правонарушение совершено впервые;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и совершенное административное правонарушение не повлекло причинение вреда или возникновение угрозы причинения вреда жизни и здоровью людей, объектам животного и растительного мира, окружающей среде, объектам культурного наследия народов Российской Федерации, безопасности государства, угрозы чрезвычайных ситуаций природного и техногенного характера, а также не привело к имущественному ущербу.</w:t>
      </w:r>
    </w:p>
    <w:p w:rsidR="001246D1" w:rsidRDefault="00A7362D">
      <w:pPr>
        <w:spacing w:after="0" w:line="276" w:lineRule="auto"/>
        <w:ind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Должностными лицами Управления указанная норма КоАПа, влекущая замену штрафа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предупреждением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была применена 60 раз, что составляет примерно 20% от общего количества наложенных административных взысканий.</w:t>
      </w:r>
    </w:p>
    <w:p w:rsidR="00CD72C5" w:rsidRDefault="00CD72C5" w:rsidP="00CD72C5">
      <w:pPr>
        <w:spacing w:after="0" w:line="276" w:lineRule="auto"/>
        <w:contextualSpacing/>
        <w:jc w:val="both"/>
      </w:pPr>
      <w:r w:rsidRPr="00CD72C5">
        <w:rPr>
          <w:noProof/>
          <w:lang w:eastAsia="ru-RU"/>
        </w:rPr>
        <w:drawing>
          <wp:inline distT="0" distB="0" distL="0" distR="0" wp14:anchorId="5E694E59" wp14:editId="4E7DFA7A">
            <wp:extent cx="5940425" cy="334137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С целью предупреждения нарушений действующего законодательства, Управлением рекомендуется хозяйствующим субъектам, проводить следующие мероприятия: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проводить корпоративное обучение командного состава судов, делая основной упор на изучение правил плавания и правил технической эксплуатации судов;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организовать и внедрить в хозяйственную часть своей деятельности внутренний аудит СУБ компаний;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обеспечить повышение квалификации ответственных лиц за безопасность мореплавания и судоходства в профильных учебных заведениях;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Помимо проведения контрольных (надзорных) и профилактических мероприятий на Управление, также возложены функции по осуществлению расследования аварийных случаев и транспортных происшествий на морском и внутреннем водном транспорте.</w:t>
      </w:r>
    </w:p>
    <w:p w:rsidR="001246D1" w:rsidRDefault="00A7362D">
      <w:pPr>
        <w:spacing w:after="0" w:line="276" w:lineRule="auto"/>
        <w:ind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Важнейшим фактором эксплуатации судов является безопасность мореплавания и судоходст</w:t>
      </w:r>
      <w:r w:rsidR="00CD72C5">
        <w:rPr>
          <w:rFonts w:ascii="Times New Roman" w:eastAsia="Calibri" w:hAnsi="Times New Roman" w:cs="Times New Roman"/>
          <w:sz w:val="28"/>
          <w:szCs w:val="28"/>
        </w:rPr>
        <w:t>ва и охрана человеческой жизни.</w:t>
      </w:r>
    </w:p>
    <w:p w:rsidR="00CD72C5" w:rsidRDefault="00CD72C5" w:rsidP="00CD72C5">
      <w:pPr>
        <w:spacing w:after="0" w:line="276" w:lineRule="auto"/>
        <w:contextualSpacing/>
        <w:jc w:val="both"/>
      </w:pPr>
      <w:r w:rsidRPr="00CD72C5">
        <w:rPr>
          <w:noProof/>
          <w:lang w:eastAsia="ru-RU"/>
        </w:rPr>
        <w:drawing>
          <wp:inline distT="0" distB="0" distL="0" distR="0" wp14:anchorId="4BD41FF1" wp14:editId="13A393C7">
            <wp:extent cx="5940425" cy="3341370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Составляющая безаварийной эксплуатации флота основывается на комплексе организационных и технических мероприятий, направленных на реализацию национальных и международных требований в области безопасности мореплавания, судоходства и предотвращения загрязнения окружающей среды.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Качество работы всей структуры обеспечения безопасности мореплавания и судоходства оценивается показателями аварийности судов.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Анализ динамики аварийности в зоне ответственности Управления за истекший период 2025 года, по сравнению с аналогичным периодом 2024 года, свидетельствует о ее значительном снижении.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2024 году зарегистрировано 78 аварийных случая, из них: 2 - очень серьезных аварий на море, 49 аварий и 27 инцидентов. Из них с судами под иностранным флагом - 12.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В 2025 году зарегистрировано 37 аварийных случаев: 24 аварии и 13 инцидентов. Из них с судами под иностранным флагом – 12.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том числе: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- 5 транспортных происшествий на внутренних водных путях, 3 из которых произошли в зоне ответственности Волгоградского территориального отдела;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- 1 аварийный случай произошел в зоне ответственности Азово-Донского территориального отдела;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- 6 аварийных случаев произошли в зоне ответственности Астраханского территориального отдела;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- 4 аварийных случая произошли в зоне ответственности Крымского территориального отдела;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- 2 аварийных случая произошли в зоне ответственности Новороссийского территориального отдела;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- 1 аварийный случай произошел в зоне ответственности Сочинского территориального отдела;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- 6 аварийных случаев было расследовано отделом надзора за судоходством и мореплаванием, учета и расследования транспортных происшествия на водном транспорте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Анализ статистических данных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по  видам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аварийности показывает, что лидирующее место, все также занимает навигационная аварийность, которая, за отчетный период текущего года, по сравнению с 2024 годом, уменьшилась на 48%. 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В основе навигационных происшествий лежит нарушение требований руководящих документов, определяющих правила и организацию штурманской службы и регламентирующих ее деятельность по обеспечению навигационной безопасности.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Эти нарушения происходят по двум основным причинам: или из-за низкого уровня профессиональной подготовленности штурманского состава, или по причине безответственного отношения должностных лиц к выполнению своих обязанностей.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Ошибки судоводителей проявляются в оценке обстановки и принятии правильного решения, в контроле за навигационным и иным оборудованием, наблюдении за обстановкой, решениях по управлению судном и др.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Анализ отработанных материалов указывает на то, что лидером причин аварий и происшествий все также остается человеческий фактор.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Однако, становится все более очевидным, что подготовка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персонала  только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один из аспектов, учитывающих человеческий фактор. Имеются и другие, способствующие авариям и инцидентам на море, которые должны быть поняты, исследованы и приняты в расчет. </w:t>
      </w:r>
    </w:p>
    <w:p w:rsidR="001246D1" w:rsidRDefault="00A7362D">
      <w:pPr>
        <w:spacing w:after="0" w:line="276" w:lineRule="auto"/>
        <w:ind w:left="142" w:firstLine="850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Безусловно, полностью исключить возникновение аварийных случаев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невозможно,  но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существуют меры, которые могут помочь предотвратить эти происшествия, либо значительно сократить их количество. К данным мерам относится: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1. Внесение необходимых изменений в структуры системы безопасности мореплавания и судоходства предприятий, в которых четко определить схему координации и взаимодействия, задачи, функции права, обязанности и ответственность каждого подразделения за обеспечение безаварийной работы флота.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2. При разработке организационно-технических мероприятий и программ, обеспечивающих высокоэффективную и безаварийную эксплуатацию флота, планировать их материальное и финансовое обеспечение.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3. Совершенствовать профилактическую работу по предупреждению аварийности, проводить глубокий анализ обстоятельств и причин аварийных случаев, разрабатывать и осуществлять конкретные меры по их предупреждению, обращая особое внимание на: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организацию систематического изучения моряками и работниками береговых подразделений требований и рекомендаций международных конвенций и договоров, национальных правил и нормативно-технических документов Минтранса и их выполнения.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 обеспечение судов современными спасательными средствами и средствами борьбы с пожарами.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 внедрение на судах современных технических средств судовождения и связи, их сервисного обслуживания.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создание и совершенствование систем управления движением судов в портах и узкостях.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своевременное обеспечение судов нормативно-правовой документацией по безопасной эксплуатации флота.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lastRenderedPageBreak/>
        <w:t>-  формирование высокой ответственности членов экипажей судов за выполнение обязанностей по обеспечению безопасного мореплавания и охраны человеческой жизни.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 улучшение работы по решению социальных проблем плавсостава, более широкое применение материального стимулирования моряков за безаварийную работу.</w:t>
      </w:r>
    </w:p>
    <w:p w:rsidR="001246D1" w:rsidRDefault="00A7362D">
      <w:pPr>
        <w:spacing w:after="0" w:line="276" w:lineRule="auto"/>
        <w:ind w:firstLine="1134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С целью обеспечения безопасной эксплуатации флота уделять повышенное внимание работе транспортных судов,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эксплуатирующихся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сверх нормативного срока, осуществлять постоянный контроль за движением этих судов.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С учетом возраста, технического состояния судна, профессиональной подготовки экипажа, полноты материально-технического обеспечения особое внимание уделять подготовке судна, проработке с экипажем условий и особенностей предстоящего рейса по обеспечению безопасности судна в части: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технического соответствия;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остойчивости;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непотопляемости;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прочности;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укомплектования экипажа специалистами соответствующей квалификации и в количестве согласно штатному расписанию;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навигационной проработки рейса, при этом обращать особое внимание на изменения режима плавания, правил захода в территориальные воды, правил плавания в районах разделения движения, в зонах действия систем управления движением судов, использования иностранных навигационных карт только при наличии и изучении корректурных материалов и пособий.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 4. Капитанам судов в своей деятельности руководствоваться положениями и требованиями международных конвенций по охране человеческой жизни на море, подготовке и </w:t>
      </w:r>
      <w:proofErr w:type="spellStart"/>
      <w:r>
        <w:rPr>
          <w:rFonts w:ascii="Times New Roman" w:eastAsia="Calibri" w:hAnsi="Times New Roman" w:cs="Times New Roman"/>
          <w:sz w:val="28"/>
          <w:szCs w:val="28"/>
        </w:rPr>
        <w:t>дипломированию</w:t>
      </w:r>
      <w:proofErr w:type="spellEnd"/>
      <w:r>
        <w:rPr>
          <w:rFonts w:ascii="Times New Roman" w:eastAsia="Calibri" w:hAnsi="Times New Roman" w:cs="Times New Roman"/>
          <w:sz w:val="28"/>
          <w:szCs w:val="28"/>
        </w:rPr>
        <w:t xml:space="preserve"> моряков и несению вахты, Кодекса торгового мореплавания, действующих нормативных и руководящих документов Минтранса, исходя из того, что капитан на основе единоначалия осуществляет свои права и обязанности по управлению судном и обеспечению безопасности людей и судна. </w:t>
      </w:r>
    </w:p>
    <w:p w:rsidR="001246D1" w:rsidRDefault="00A7362D">
      <w:pPr>
        <w:spacing w:after="0" w:line="276" w:lineRule="auto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При этом надлежит: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4.1. Сосредоточить усилия свои и командного состава на изучении и обеспечении выполнения международных и национальных правил безопасного плавания судов и перевозки пассажиров, предупреждении и устранении воздействий от непосредственных и сопутствующих причин </w:t>
      </w:r>
      <w:r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возникновения аварийных ситуаций, выработке необходимых профилактических мер, освоении наиболее безопасных методов управления судном с использованием современных технических средств навигации и связи; 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4.2. Направлять учебу в экипажах на совершенствование моряками практических навыков по: </w:t>
      </w:r>
    </w:p>
    <w:p w:rsidR="001246D1" w:rsidRDefault="00A7362D">
      <w:pPr>
        <w:spacing w:after="0" w:line="276" w:lineRule="auto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 xml:space="preserve">- освоению судовых технических средств и конструкций, технологических и эксплуатационных особенностей своего судна, его маневренных характеристик; </w:t>
      </w:r>
    </w:p>
    <w:p w:rsidR="001246D1" w:rsidRDefault="00A7362D">
      <w:pPr>
        <w:spacing w:after="0" w:line="276" w:lineRule="auto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подготовке к борьбе за живучесть судна, спасению людей;</w:t>
      </w:r>
    </w:p>
    <w:p w:rsidR="001246D1" w:rsidRDefault="00A7362D">
      <w:pPr>
        <w:spacing w:after="0" w:line="276" w:lineRule="auto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- поиску и спасанию людей, терпящих бедствие на море.</w:t>
      </w:r>
    </w:p>
    <w:p w:rsidR="001246D1" w:rsidRDefault="00A7362D">
      <w:pPr>
        <w:spacing w:after="0" w:line="276" w:lineRule="auto"/>
        <w:ind w:firstLine="992"/>
        <w:contextualSpacing/>
        <w:jc w:val="both"/>
      </w:pPr>
      <w:r>
        <w:rPr>
          <w:rFonts w:ascii="Times New Roman" w:eastAsia="Calibri" w:hAnsi="Times New Roman" w:cs="Times New Roman"/>
          <w:sz w:val="28"/>
          <w:szCs w:val="28"/>
        </w:rPr>
        <w:t>Проблема обеспечения безопасности мореплавания и судоходства и на сегодняшний день остается одной из важнейших, и в интересах её обеспечения необходимо тщательно расследовать каждое аварийное происшествие, с тем, чтобы выводы такого расследования способствовали предотвращению в будущем допущенных ошибок.</w:t>
      </w:r>
    </w:p>
    <w:p w:rsidR="001246D1" w:rsidRDefault="001246D1">
      <w:pPr>
        <w:spacing w:after="0" w:line="276" w:lineRule="auto"/>
        <w:contextualSpacing/>
        <w:jc w:val="both"/>
      </w:pPr>
    </w:p>
    <w:p w:rsidR="001246D1" w:rsidRDefault="00A7362D">
      <w:pPr>
        <w:spacing w:after="0" w:line="276" w:lineRule="auto"/>
        <w:ind w:firstLine="992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>ВСЕМ СПАСИБО ЗА ВНИМАНИЕ, ДОКЛАД ОКОНЧЕН!</w:t>
      </w:r>
    </w:p>
    <w:p w:rsidR="001246D1" w:rsidRDefault="001246D1">
      <w:pPr>
        <w:spacing w:after="0" w:line="276" w:lineRule="auto"/>
        <w:contextualSpacing/>
        <w:jc w:val="both"/>
        <w:rPr>
          <w:rFonts w:ascii="Times New Roman" w:hAnsi="Times New Roman" w:cs="Times New Roman"/>
          <w:sz w:val="28"/>
          <w:szCs w:val="28"/>
        </w:rPr>
      </w:pPr>
    </w:p>
    <w:sectPr w:rsidR="001246D1">
      <w:footerReference w:type="default" r:id="rId12"/>
      <w:pgSz w:w="11906" w:h="16838"/>
      <w:pgMar w:top="1134" w:right="850" w:bottom="1134" w:left="1701" w:header="708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36F6E" w:rsidRDefault="00F36F6E">
      <w:pPr>
        <w:spacing w:after="0" w:line="240" w:lineRule="auto"/>
      </w:pPr>
      <w:r>
        <w:separator/>
      </w:r>
    </w:p>
  </w:endnote>
  <w:endnote w:type="continuationSeparator" w:id="0">
    <w:p w:rsidR="00F36F6E" w:rsidRDefault="00F36F6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487053623"/>
      <w:docPartObj>
        <w:docPartGallery w:val="Page Numbers (Bottom of Page)"/>
        <w:docPartUnique/>
      </w:docPartObj>
    </w:sdtPr>
    <w:sdtEndPr/>
    <w:sdtContent>
      <w:p w:rsidR="001246D1" w:rsidRDefault="00A7362D">
        <w:pPr>
          <w:pStyle w:val="afb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D5CD8">
          <w:rPr>
            <w:noProof/>
          </w:rPr>
          <w:t>9</w:t>
        </w:r>
        <w:r>
          <w:fldChar w:fldCharType="end"/>
        </w:r>
      </w:p>
    </w:sdtContent>
  </w:sdt>
  <w:p w:rsidR="001246D1" w:rsidRDefault="001246D1">
    <w:pPr>
      <w:pStyle w:val="afb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36F6E" w:rsidRDefault="00F36F6E">
      <w:pPr>
        <w:spacing w:after="0" w:line="240" w:lineRule="auto"/>
      </w:pPr>
      <w:r>
        <w:separator/>
      </w:r>
    </w:p>
  </w:footnote>
  <w:footnote w:type="continuationSeparator" w:id="0">
    <w:p w:rsidR="00F36F6E" w:rsidRDefault="00F36F6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46D1"/>
    <w:rsid w:val="001246D1"/>
    <w:rsid w:val="00682683"/>
    <w:rsid w:val="00984C96"/>
    <w:rsid w:val="00A7362D"/>
    <w:rsid w:val="00BD5CD8"/>
    <w:rsid w:val="00CD72C5"/>
    <w:rsid w:val="00F36F6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AA00D0F6-148C-401F-8FAE-D92FCE9E563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 w:after="20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 w:after="20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 w:after="20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 w:after="20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 w:after="20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 w:after="20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 w:after="20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 w:after="20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Title"/>
    <w:basedOn w:val="a"/>
    <w:next w:val="a"/>
    <w:link w:val="a4"/>
    <w:uiPriority w:val="10"/>
    <w:qFormat/>
    <w:pPr>
      <w:spacing w:before="300" w:after="200"/>
      <w:contextualSpacing/>
    </w:pPr>
    <w:rPr>
      <w:sz w:val="48"/>
      <w:szCs w:val="48"/>
    </w:rPr>
  </w:style>
  <w:style w:type="character" w:customStyle="1" w:styleId="a4">
    <w:name w:val="Название Знак"/>
    <w:basedOn w:val="a0"/>
    <w:link w:val="a3"/>
    <w:uiPriority w:val="10"/>
    <w:rPr>
      <w:sz w:val="48"/>
      <w:szCs w:val="48"/>
    </w:rPr>
  </w:style>
  <w:style w:type="paragraph" w:styleId="a5">
    <w:name w:val="Subtitle"/>
    <w:basedOn w:val="a"/>
    <w:next w:val="a"/>
    <w:link w:val="a6"/>
    <w:uiPriority w:val="11"/>
    <w:qFormat/>
    <w:pPr>
      <w:spacing w:before="200" w:after="200"/>
    </w:pPr>
    <w:rPr>
      <w:sz w:val="24"/>
      <w:szCs w:val="24"/>
    </w:rPr>
  </w:style>
  <w:style w:type="character" w:customStyle="1" w:styleId="a6">
    <w:name w:val="Подзаголовок Знак"/>
    <w:basedOn w:val="a0"/>
    <w:link w:val="a5"/>
    <w:uiPriority w:val="11"/>
    <w:rPr>
      <w:sz w:val="24"/>
      <w:szCs w:val="24"/>
    </w:rPr>
  </w:style>
  <w:style w:type="paragraph" w:styleId="21">
    <w:name w:val="Quote"/>
    <w:basedOn w:val="a"/>
    <w:next w:val="a"/>
    <w:link w:val="22"/>
    <w:uiPriority w:val="29"/>
    <w:qFormat/>
    <w:pPr>
      <w:ind w:left="720" w:right="720"/>
    </w:pPr>
    <w:rPr>
      <w:i/>
    </w:rPr>
  </w:style>
  <w:style w:type="character" w:customStyle="1" w:styleId="22">
    <w:name w:val="Цитата 2 Знак"/>
    <w:link w:val="21"/>
    <w:uiPriority w:val="29"/>
    <w:rPr>
      <w:i/>
    </w:rPr>
  </w:style>
  <w:style w:type="paragraph" w:styleId="a7">
    <w:name w:val="Intense Quote"/>
    <w:basedOn w:val="a"/>
    <w:next w:val="a"/>
    <w:link w:val="a8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8">
    <w:name w:val="Выделенная цитата Знак"/>
    <w:link w:val="a7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9">
    <w:name w:val="caption"/>
    <w:basedOn w:val="a"/>
    <w:next w:val="a"/>
    <w:link w:val="aa"/>
    <w:uiPriority w:val="35"/>
    <w:semiHidden/>
    <w:unhideWhenUsed/>
    <w:qFormat/>
    <w:pPr>
      <w:spacing w:line="276" w:lineRule="auto"/>
    </w:pPr>
    <w:rPr>
      <w:b/>
      <w:bCs/>
      <w:color w:val="5B9BD5" w:themeColor="accent1"/>
      <w:sz w:val="18"/>
      <w:szCs w:val="18"/>
    </w:rPr>
  </w:style>
  <w:style w:type="character" w:customStyle="1" w:styleId="aa">
    <w:name w:val="Название объекта Знак"/>
    <w:basedOn w:val="a0"/>
    <w:link w:val="a9"/>
    <w:uiPriority w:val="35"/>
    <w:rPr>
      <w:b/>
      <w:bCs/>
      <w:color w:val="5B9BD5" w:themeColor="accent1"/>
      <w:sz w:val="18"/>
      <w:szCs w:val="18"/>
    </w:r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3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8A2D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472C4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8A2D8" w:themeColor="accent1" w:themeTint="EA"/>
        <w:insideH w:val="single" w:sz="4" w:space="0" w:color="68A2D8" w:themeColor="accent1" w:themeTint="EA"/>
        <w:insideV w:val="single" w:sz="4" w:space="0" w:color="68A2D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1" w:themeTint="34" w:fill="DDEAF6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  <w:insideV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68A2D8" w:themeColor="accent1" w:themeTint="EA"/>
          <w:left w:val="single" w:sz="4" w:space="0" w:color="68A2D8" w:themeColor="accent1" w:themeTint="EA"/>
          <w:bottom w:val="single" w:sz="4" w:space="0" w:color="68A2D8" w:themeColor="accent1" w:themeTint="EA"/>
          <w:right w:val="single" w:sz="4" w:space="0" w:color="68A2D8" w:themeColor="accent1" w:themeTint="EA"/>
        </w:tcBorders>
        <w:shd w:val="clear" w:color="68A2D8" w:themeColor="accent1" w:themeTint="EA" w:fill="68A2D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68A2D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EEBF6" w:themeColor="accent1" w:themeTint="32" w:fill="DEEBF6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472C4" w:themeColor="accent5"/>
          <w:left w:val="single" w:sz="4" w:space="0" w:color="4472C4" w:themeColor="accent5"/>
          <w:bottom w:val="single" w:sz="4" w:space="0" w:color="4472C4" w:themeColor="accent5"/>
          <w:right w:val="single" w:sz="4" w:space="0" w:color="4472C4" w:themeColor="accent5"/>
        </w:tcBorders>
        <w:shd w:val="clear" w:color="4472C4" w:themeColor="accent5" w:fill="4472C4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1" w:themeTint="34" w:fill="DDEAF6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1" w:fill="5B9BD5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band1Vert">
      <w:tblPr/>
      <w:tcPr>
        <w:shd w:val="clear" w:color="B3D0EB" w:themeColor="accent1" w:themeTint="75" w:fill="B3D0EB" w:themeFill="accent1" w:themeFillTint="75"/>
      </w:tcPr>
    </w:tblStylePr>
    <w:tblStylePr w:type="band1Horz">
      <w:tblPr/>
      <w:tcPr>
        <w:shd w:val="clear" w:color="B3D0EB" w:themeColor="accent1" w:themeTint="75" w:fill="B3D0EB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5" w:themeTint="34" w:fill="D8E2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5" w:fill="4472C4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band1Vert">
      <w:tblPr/>
      <w:tcPr>
        <w:shd w:val="clear" w:color="A9BEE4" w:themeColor="accent5" w:themeTint="75" w:fill="A9BEE4" w:themeFill="accent5" w:themeFillTint="75"/>
      </w:tcPr>
    </w:tblStylePr>
    <w:tblStylePr w:type="band1Horz">
      <w:tblPr/>
      <w:tcPr>
        <w:shd w:val="clear" w:color="A9BEE4" w:themeColor="accent5" w:themeTint="75" w:fill="A9BEE4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CCCEA" w:themeColor="accent1" w:themeTint="80"/>
        <w:left w:val="single" w:sz="4" w:space="0" w:color="ACCCEA" w:themeColor="accent1" w:themeTint="80"/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b/>
        <w:color w:val="ACCCEA" w:themeColor="accent1" w:themeTint="80" w:themeShade="95"/>
      </w:rPr>
      <w:tblPr/>
      <w:tcPr>
        <w:tcBorders>
          <w:bottom w:val="single" w:sz="12" w:space="0" w:color="ACCCEA" w:themeColor="accent1" w:themeTint="80"/>
        </w:tcBorders>
      </w:tcPr>
    </w:tblStylePr>
    <w:tblStylePr w:type="lastRow">
      <w:rPr>
        <w:b/>
        <w:color w:val="ACCCEA" w:themeColor="accent1" w:themeTint="80" w:themeShade="95"/>
      </w:rPr>
    </w:tblStylePr>
    <w:tblStylePr w:type="firstCol">
      <w:rPr>
        <w:b/>
        <w:color w:val="ACCCEA" w:themeColor="accent1" w:themeTint="80" w:themeShade="95"/>
      </w:rPr>
    </w:tblStylePr>
    <w:tblStylePr w:type="lastCol">
      <w:rPr>
        <w:b/>
        <w:color w:val="ACCCEA" w:themeColor="accent1" w:themeTint="80" w:themeShade="95"/>
      </w:r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5"/>
        <w:left w:val="single" w:sz="4" w:space="0" w:color="4472C4" w:themeColor="accent5"/>
        <w:bottom w:val="single" w:sz="4" w:space="0" w:color="4472C4" w:themeColor="accent5"/>
        <w:right w:val="single" w:sz="4" w:space="0" w:color="4472C4" w:themeColor="accent5"/>
        <w:insideH w:val="single" w:sz="4" w:space="0" w:color="4472C4" w:themeColor="accent5"/>
        <w:insideV w:val="single" w:sz="4" w:space="0" w:color="4472C4" w:themeColor="accent5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4472C4" w:themeColor="accent5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54175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54175" w:themeColor="accent5" w:themeShade="95"/>
      </w:rPr>
    </w:tblStylePr>
    <w:tblStylePr w:type="firstCol">
      <w:rPr>
        <w:b/>
        <w:color w:val="254175" w:themeColor="accent5" w:themeShade="95"/>
      </w:rPr>
    </w:tblStylePr>
    <w:tblStylePr w:type="lastCol">
      <w:rPr>
        <w:b/>
        <w:color w:val="254175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CCCEA" w:themeColor="accent1" w:themeTint="80"/>
        <w:right w:val="single" w:sz="4" w:space="0" w:color="ACCCEA" w:themeColor="accent1" w:themeTint="80"/>
        <w:insideH w:val="single" w:sz="4" w:space="0" w:color="ACCCEA" w:themeColor="accent1" w:themeTint="80"/>
        <w:insideV w:val="single" w:sz="4" w:space="0" w:color="ACCCEA" w:themeColor="accent1" w:themeTint="80"/>
      </w:tblBorders>
    </w:tblPr>
    <w:tblStylePr w:type="fir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CCCEA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CCCEA" w:themeColor="accent1" w:themeTint="80" w:themeShade="95"/>
        <w:sz w:val="22"/>
      </w:rPr>
      <w:tblPr/>
      <w:tcPr>
        <w:tcBorders>
          <w:top w:val="single" w:sz="4" w:space="0" w:color="ACCCEA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CCCEA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CCCEA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CCCEA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1" w:themeTint="34" w:fill="DDEAF6" w:themeFill="accent1" w:themeFillTint="34"/>
      </w:tcPr>
    </w:tblStylePr>
    <w:tblStylePr w:type="band1Horz">
      <w:rPr>
        <w:rFonts w:ascii="Arial" w:hAnsi="Arial"/>
        <w:color w:val="ACCCEA" w:themeColor="accent1" w:themeTint="80" w:themeShade="95"/>
        <w:sz w:val="22"/>
      </w:rPr>
      <w:tblPr/>
      <w:tcPr>
        <w:shd w:val="clear" w:color="DDEAF6" w:themeColor="accent1" w:themeTint="34" w:fill="DDEAF6" w:themeFill="accent1" w:themeFillTint="34"/>
      </w:tcPr>
    </w:tblStylePr>
    <w:tblStylePr w:type="band2Horz">
      <w:rPr>
        <w:rFonts w:ascii="Arial" w:hAnsi="Arial"/>
        <w:color w:val="ACCCEA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A5A5A5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  <w:insideV w:val="single" w:sz="4" w:space="0" w:color="95AFDD" w:themeColor="accent5" w:themeTint="90"/>
      </w:tblBorders>
    </w:tblPr>
    <w:tblStylePr w:type="fir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54175" w:themeColor="accent5" w:themeShade="95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5AFDD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5" w:themeShade="95"/>
        <w:sz w:val="22"/>
      </w:rPr>
      <w:tblPr/>
      <w:tcPr>
        <w:tcBorders>
          <w:top w:val="none" w:sz="4" w:space="0" w:color="000000"/>
          <w:left w:val="single" w:sz="4" w:space="0" w:color="95AFDD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254175" w:themeColor="accent5" w:themeShade="95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2Horz">
      <w:rPr>
        <w:rFonts w:ascii="Arial" w:hAnsi="Arial"/>
        <w:color w:val="254175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4" w:space="0" w:color="000000"/>
          <w:left w:val="single" w:sz="4" w:space="0" w:color="ADD394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bottom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1" w:themeTint="90"/>
          <w:left w:val="none" w:sz="4" w:space="0" w:color="000000"/>
          <w:bottom w:val="single" w:sz="4" w:space="0" w:color="A2C6E7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bottom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5" w:themeTint="90"/>
          <w:left w:val="none" w:sz="4" w:space="0" w:color="000000"/>
          <w:bottom w:val="single" w:sz="4" w:space="0" w:color="95AFDD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left w:val="single" w:sz="4" w:space="0" w:color="5B9BD5" w:themeColor="accent1"/>
        <w:bottom w:val="single" w:sz="4" w:space="0" w:color="5B9BD5" w:themeColor="accent1"/>
        <w:right w:val="single" w:sz="4" w:space="0" w:color="5B9BD5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5B9BD5" w:themeColor="accent1"/>
          <w:right w:val="single" w:sz="4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5B9BD5" w:themeColor="accent1"/>
          <w:bottom w:val="single" w:sz="4" w:space="0" w:color="5B9BD5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left w:val="single" w:sz="4" w:space="0" w:color="8DA9DB" w:themeColor="accent5" w:themeTint="9A"/>
        <w:bottom w:val="single" w:sz="4" w:space="0" w:color="8DA9DB" w:themeColor="accent5" w:themeTint="9A"/>
        <w:right w:val="single" w:sz="4" w:space="0" w:color="8DA9DB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DA9DB" w:themeColor="accent5" w:themeTint="9A" w:fill="8DA9DB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8DA9DB" w:themeColor="accent5" w:themeTint="9A"/>
          <w:right w:val="single" w:sz="4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8DA9DB" w:themeColor="accent5" w:themeTint="9A"/>
          <w:bottom w:val="single" w:sz="4" w:space="0" w:color="8DA9DB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1" w:themeTint="90"/>
        <w:left w:val="single" w:sz="4" w:space="0" w:color="A2C6E7" w:themeColor="accent1" w:themeTint="90"/>
        <w:bottom w:val="single" w:sz="4" w:space="0" w:color="A2C6E7" w:themeColor="accent1" w:themeTint="90"/>
        <w:right w:val="single" w:sz="4" w:space="0" w:color="A2C6E7" w:themeColor="accent1" w:themeTint="90"/>
        <w:insideH w:val="single" w:sz="4" w:space="0" w:color="A2C6E7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1" w:fill="5B9BD5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1" w:themeTint="40" w:fill="D5E5F4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5" w:themeTint="90"/>
        <w:left w:val="single" w:sz="4" w:space="0" w:color="95AFDD" w:themeColor="accent5" w:themeTint="90"/>
        <w:bottom w:val="single" w:sz="4" w:space="0" w:color="95AFDD" w:themeColor="accent5" w:themeTint="90"/>
        <w:right w:val="single" w:sz="4" w:space="0" w:color="95AFDD" w:themeColor="accent5" w:themeTint="90"/>
        <w:insideH w:val="single" w:sz="4" w:space="0" w:color="95AFDD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5" w:themeTint="40" w:fill="CFDBF0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5B9BD5" w:themeColor="accent1"/>
        <w:left w:val="single" w:sz="32" w:space="0" w:color="5B9BD5" w:themeColor="accent1"/>
        <w:bottom w:val="single" w:sz="32" w:space="0" w:color="5B9BD5" w:themeColor="accent1"/>
        <w:right w:val="single" w:sz="32" w:space="0" w:color="5B9BD5" w:themeColor="accent1"/>
      </w:tblBorders>
      <w:shd w:val="clear" w:color="5B9BD5" w:themeColor="accent1" w:fill="5B9BD5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5B9BD5" w:themeColor="accent1"/>
          <w:bottom w:val="single" w:sz="12" w:space="0" w:color="FFFFFF" w:themeColor="light1"/>
        </w:tcBorders>
        <w:shd w:val="clear" w:color="5B9BD5" w:themeColor="accent1" w:fill="5B9BD5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5B9BD5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5B9BD5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5B9BD5" w:themeColor="accent1" w:fill="5B9BD5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5B9BD5" w:themeColor="accent1" w:fill="5B9BD5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8DA9DB" w:themeColor="accent5" w:themeTint="9A"/>
        <w:left w:val="single" w:sz="32" w:space="0" w:color="8DA9DB" w:themeColor="accent5" w:themeTint="9A"/>
        <w:bottom w:val="single" w:sz="32" w:space="0" w:color="8DA9DB" w:themeColor="accent5" w:themeTint="9A"/>
        <w:right w:val="single" w:sz="32" w:space="0" w:color="8DA9DB" w:themeColor="accent5" w:themeTint="9A"/>
      </w:tblBorders>
      <w:shd w:val="clear" w:color="8DA9DB" w:themeColor="accent5" w:themeTint="9A" w:fill="8DA9DB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8DA9DB" w:themeColor="accent5" w:themeTint="9A"/>
          <w:bottom w:val="single" w:sz="12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8DA9DB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8DA9DB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8DA9DB" w:themeColor="accent5" w:themeTint="9A" w:fill="8DA9DB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1"/>
        <w:bottom w:val="single" w:sz="4" w:space="0" w:color="5B9BD5" w:themeColor="accent1"/>
      </w:tblBorders>
    </w:tblPr>
    <w:tblStylePr w:type="firstRow">
      <w:rPr>
        <w:b/>
        <w:color w:val="245A8D" w:themeColor="accent1" w:themeShade="95"/>
      </w:rPr>
      <w:tblPr/>
      <w:tcPr>
        <w:tcBorders>
          <w:bottom w:val="single" w:sz="4" w:space="0" w:color="5B9BD5" w:themeColor="accent1"/>
        </w:tcBorders>
      </w:tcPr>
    </w:tblStylePr>
    <w:tblStylePr w:type="lastRow">
      <w:rPr>
        <w:b/>
        <w:color w:val="245A8D" w:themeColor="accent1" w:themeShade="95"/>
      </w:rPr>
      <w:tblPr/>
      <w:tcPr>
        <w:tcBorders>
          <w:top w:val="single" w:sz="4" w:space="0" w:color="5B9BD5" w:themeColor="accent1"/>
        </w:tcBorders>
      </w:tcPr>
    </w:tblStylePr>
    <w:tblStylePr w:type="firstCol">
      <w:rPr>
        <w:b/>
        <w:color w:val="245A8D" w:themeColor="accent1" w:themeShade="95"/>
      </w:rPr>
    </w:tblStylePr>
    <w:tblStylePr w:type="lastCol">
      <w:rPr>
        <w:b/>
        <w:color w:val="245A8D" w:themeColor="accent1" w:themeShade="95"/>
      </w:r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8DA9DB" w:themeColor="accent5" w:themeTint="9A"/>
        <w:bottom w:val="single" w:sz="4" w:space="0" w:color="8DA9DB" w:themeColor="accent5" w:themeTint="9A"/>
      </w:tblBorders>
    </w:tblPr>
    <w:tblStylePr w:type="firstRow">
      <w:rPr>
        <w:b/>
        <w:color w:val="8DA9DB" w:themeColor="accent5" w:themeTint="9A" w:themeShade="95"/>
      </w:rPr>
      <w:tblPr/>
      <w:tcPr>
        <w:tcBorders>
          <w:bottom w:val="single" w:sz="4" w:space="0" w:color="8DA9DB" w:themeColor="accent5" w:themeTint="9A"/>
        </w:tcBorders>
      </w:tcPr>
    </w:tblStylePr>
    <w:tblStylePr w:type="lastRow">
      <w:rPr>
        <w:b/>
        <w:color w:val="8DA9DB" w:themeColor="accent5" w:themeTint="9A" w:themeShade="95"/>
      </w:rPr>
      <w:tblPr/>
      <w:tcPr>
        <w:tcBorders>
          <w:top w:val="single" w:sz="4" w:space="0" w:color="8DA9DB" w:themeColor="accent5" w:themeTint="9A"/>
        </w:tcBorders>
      </w:tcPr>
    </w:tblStylePr>
    <w:tblStylePr w:type="firstCol">
      <w:rPr>
        <w:b/>
        <w:color w:val="8DA9DB" w:themeColor="accent5" w:themeTint="9A" w:themeShade="95"/>
      </w:rPr>
    </w:tblStylePr>
    <w:tblStylePr w:type="lastCol">
      <w:rPr>
        <w:b/>
        <w:color w:val="8DA9DB" w:themeColor="accent5" w:themeTint="9A" w:themeShade="95"/>
      </w:r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5B9BD5" w:themeColor="accent1"/>
      </w:tblBorders>
    </w:tblPr>
    <w:tblStylePr w:type="fir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45A8D" w:themeColor="accent1" w:themeShade="95"/>
        <w:sz w:val="22"/>
      </w:rPr>
      <w:tblPr/>
      <w:tcPr>
        <w:tcBorders>
          <w:top w:val="single" w:sz="4" w:space="0" w:color="5B9BD5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5B9BD5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1" w:themeShade="95"/>
        <w:sz w:val="22"/>
      </w:rPr>
      <w:tblPr/>
      <w:tcPr>
        <w:tcBorders>
          <w:top w:val="none" w:sz="4" w:space="0" w:color="000000"/>
          <w:left w:val="single" w:sz="4" w:space="0" w:color="5B9BD5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1" w:themeTint="40" w:fill="D5E5F4" w:themeFill="accent1" w:themeFillTint="40"/>
      </w:tcPr>
    </w:tblStylePr>
    <w:tblStylePr w:type="band1Horz">
      <w:rPr>
        <w:rFonts w:ascii="Arial" w:hAnsi="Arial"/>
        <w:color w:val="245A8D" w:themeColor="accent1" w:themeShade="95"/>
        <w:sz w:val="22"/>
      </w:rPr>
      <w:tblPr/>
      <w:tcPr>
        <w:shd w:val="clear" w:color="D5E5F4" w:themeColor="accent1" w:themeTint="40" w:fill="D5E5F4" w:themeFill="accent1" w:themeFillTint="40"/>
      </w:tcPr>
    </w:tblStylePr>
    <w:tblStylePr w:type="band2Horz">
      <w:rPr>
        <w:rFonts w:ascii="Arial" w:hAnsi="Arial"/>
        <w:color w:val="245A8D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4B184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F4B184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9C9C9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9C9C9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D865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FFD865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8DA9DB" w:themeColor="accent5" w:themeTint="9A"/>
      </w:tblBorders>
    </w:tblPr>
    <w:tblStylePr w:type="fir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DA9DB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single" w:sz="4" w:space="0" w:color="8DA9DB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8DA9DB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8DA9DB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8DA9DB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5" w:themeTint="40" w:fill="CFDBF0" w:themeFill="accent5" w:themeFillTint="40"/>
      </w:tcPr>
    </w:tblStylePr>
    <w:tblStylePr w:type="band1Horz">
      <w:rPr>
        <w:rFonts w:ascii="Arial" w:hAnsi="Arial"/>
        <w:color w:val="8DA9DB" w:themeColor="accent5" w:themeTint="9A" w:themeShade="95"/>
        <w:sz w:val="22"/>
      </w:rPr>
      <w:tblPr/>
      <w:tcPr>
        <w:shd w:val="clear" w:color="CFDBF0" w:themeColor="accent5" w:themeTint="40" w:fill="CFDBF0" w:themeFill="accent5" w:themeFillTint="40"/>
      </w:tcPr>
    </w:tblStylePr>
    <w:tblStylePr w:type="band2Horz">
      <w:rPr>
        <w:rFonts w:ascii="Arial" w:hAnsi="Arial"/>
        <w:color w:val="8DA9DB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9D08E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A9D08E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45A8D" w:themeColor="accent1" w:themeShade="95"/>
        <w:left w:val="single" w:sz="4" w:space="0" w:color="245A8D" w:themeColor="accent1" w:themeShade="95"/>
        <w:bottom w:val="single" w:sz="4" w:space="0" w:color="245A8D" w:themeColor="accent1" w:themeShade="95"/>
        <w:right w:val="single" w:sz="4" w:space="0" w:color="245A8D" w:themeColor="accent1" w:themeShade="95"/>
        <w:insideH w:val="single" w:sz="4" w:space="0" w:color="245A8D" w:themeColor="accent1" w:themeShade="95"/>
        <w:insideV w:val="single" w:sz="4" w:space="0" w:color="245A8D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68A2D8" w:themeColor="accent1" w:themeTint="EA" w:fill="68A2D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BDFF1" w:themeColor="accent1" w:themeTint="50" w:fill="CBDFF1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254175" w:themeColor="accent5" w:themeShade="95"/>
        <w:left w:val="single" w:sz="4" w:space="0" w:color="254175" w:themeColor="accent5" w:themeShade="95"/>
        <w:bottom w:val="single" w:sz="4" w:space="0" w:color="254175" w:themeColor="accent5" w:themeShade="95"/>
        <w:right w:val="single" w:sz="4" w:space="0" w:color="254175" w:themeColor="accent5" w:themeShade="95"/>
        <w:insideH w:val="single" w:sz="4" w:space="0" w:color="254175" w:themeColor="accent5" w:themeShade="95"/>
        <w:insideV w:val="single" w:sz="4" w:space="0" w:color="254175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472C4" w:themeColor="accent5" w:fill="4472C4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8E2F3" w:themeColor="accent5" w:themeTint="34" w:fill="D8E2F3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1" w:themeTint="67"/>
        <w:left w:val="single" w:sz="4" w:space="0" w:color="BCD6EE" w:themeColor="accent1" w:themeTint="67"/>
        <w:bottom w:val="single" w:sz="4" w:space="0" w:color="BCD6EE" w:themeColor="accent1" w:themeTint="67"/>
        <w:right w:val="single" w:sz="4" w:space="0" w:color="BCD6EE" w:themeColor="accent1" w:themeTint="67"/>
        <w:insideH w:val="single" w:sz="4" w:space="0" w:color="BCD6EE" w:themeColor="accent1" w:themeTint="67"/>
        <w:insideV w:val="single" w:sz="4" w:space="0" w:color="BCD6EE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5B9BD5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5B9BD5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5B9BD5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1" w:themeTint="67"/>
          <w:left w:val="single" w:sz="4" w:space="0" w:color="BCD6EE" w:themeColor="accent1" w:themeTint="67"/>
          <w:bottom w:val="single" w:sz="4" w:space="0" w:color="BCD6EE" w:themeColor="accent1" w:themeTint="67"/>
          <w:right w:val="single" w:sz="4" w:space="0" w:color="BCD6EE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5" w:themeTint="67"/>
        <w:left w:val="single" w:sz="4" w:space="0" w:color="B3C5E7" w:themeColor="accent5" w:themeTint="67"/>
        <w:bottom w:val="single" w:sz="4" w:space="0" w:color="B3C5E7" w:themeColor="accent5" w:themeTint="67"/>
        <w:right w:val="single" w:sz="4" w:space="0" w:color="B3C5E7" w:themeColor="accent5" w:themeTint="67"/>
        <w:insideH w:val="single" w:sz="4" w:space="0" w:color="B3C5E7" w:themeColor="accent5" w:themeTint="67"/>
        <w:insideV w:val="single" w:sz="4" w:space="0" w:color="B3C5E7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8DA9DB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8DA9DB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8DA9DB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5" w:themeTint="67"/>
          <w:left w:val="single" w:sz="4" w:space="0" w:color="B3C5E7" w:themeColor="accent5" w:themeTint="67"/>
          <w:bottom w:val="single" w:sz="4" w:space="0" w:color="B3C5E7" w:themeColor="accent5" w:themeTint="67"/>
          <w:right w:val="single" w:sz="4" w:space="0" w:color="B3C5E7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character" w:styleId="ab">
    <w:name w:val="Hyperlink"/>
    <w:uiPriority w:val="99"/>
    <w:unhideWhenUsed/>
    <w:rPr>
      <w:color w:val="0563C1" w:themeColor="hyperlink"/>
      <w:u w:val="single"/>
    </w:rPr>
  </w:style>
  <w:style w:type="paragraph" w:styleId="ac">
    <w:name w:val="footnote text"/>
    <w:basedOn w:val="a"/>
    <w:link w:val="ad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d">
    <w:name w:val="Текст сноски Знак"/>
    <w:link w:val="ac"/>
    <w:uiPriority w:val="99"/>
    <w:rPr>
      <w:sz w:val="18"/>
    </w:rPr>
  </w:style>
  <w:style w:type="character" w:styleId="ae">
    <w:name w:val="footnote reference"/>
    <w:basedOn w:val="a0"/>
    <w:uiPriority w:val="99"/>
    <w:unhideWhenUsed/>
    <w:rPr>
      <w:vertAlign w:val="superscript"/>
    </w:rPr>
  </w:style>
  <w:style w:type="paragraph" w:styleId="af">
    <w:name w:val="endnote text"/>
    <w:basedOn w:val="a"/>
    <w:link w:val="af0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0">
    <w:name w:val="Текст концевой сноски Знак"/>
    <w:link w:val="af"/>
    <w:uiPriority w:val="99"/>
    <w:rPr>
      <w:sz w:val="20"/>
    </w:rPr>
  </w:style>
  <w:style w:type="character" w:styleId="af1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2">
    <w:name w:val="TOC Heading"/>
    <w:uiPriority w:val="39"/>
    <w:unhideWhenUsed/>
  </w:style>
  <w:style w:type="paragraph" w:styleId="af3">
    <w:name w:val="table of figures"/>
    <w:basedOn w:val="a"/>
    <w:next w:val="a"/>
    <w:uiPriority w:val="99"/>
    <w:unhideWhenUsed/>
    <w:pPr>
      <w:spacing w:after="0"/>
    </w:pPr>
  </w:style>
  <w:style w:type="paragraph" w:styleId="af4">
    <w:name w:val="No Spacing"/>
    <w:uiPriority w:val="1"/>
    <w:qFormat/>
    <w:pPr>
      <w:spacing w:after="0" w:line="240" w:lineRule="auto"/>
    </w:pPr>
    <w:rPr>
      <w:rFonts w:ascii="Calibri" w:eastAsia="Calibri" w:hAnsi="Calibri" w:cs="Times New Roman"/>
    </w:rPr>
  </w:style>
  <w:style w:type="paragraph" w:customStyle="1" w:styleId="headertext">
    <w:name w:val="header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rmattext">
    <w:name w:val="formattext"/>
    <w:basedOn w:val="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f5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f6">
    <w:name w:val="Balloon Text"/>
    <w:basedOn w:val="a"/>
    <w:link w:val="af7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7">
    <w:name w:val="Текст выноски Знак"/>
    <w:basedOn w:val="a0"/>
    <w:link w:val="af6"/>
    <w:uiPriority w:val="99"/>
    <w:semiHidden/>
    <w:rPr>
      <w:rFonts w:ascii="Segoe UI" w:hAnsi="Segoe UI" w:cs="Segoe UI"/>
      <w:sz w:val="18"/>
      <w:szCs w:val="18"/>
    </w:rPr>
  </w:style>
  <w:style w:type="paragraph" w:styleId="af8">
    <w:name w:val="List Paragraph"/>
    <w:basedOn w:val="a"/>
    <w:uiPriority w:val="34"/>
    <w:qFormat/>
    <w:pPr>
      <w:ind w:left="720"/>
      <w:contextualSpacing/>
    </w:pPr>
  </w:style>
  <w:style w:type="paragraph" w:styleId="af9">
    <w:name w:val="header"/>
    <w:basedOn w:val="a"/>
    <w:link w:val="afa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a">
    <w:name w:val="Верхний колонтитул Знак"/>
    <w:basedOn w:val="a0"/>
    <w:link w:val="af9"/>
    <w:uiPriority w:val="99"/>
  </w:style>
  <w:style w:type="paragraph" w:styleId="afb">
    <w:name w:val="footer"/>
    <w:basedOn w:val="a"/>
    <w:link w:val="afc"/>
    <w:uiPriority w:val="99"/>
    <w:unhideWhenUsed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c">
    <w:name w:val="Нижний колонтитул Знак"/>
    <w:basedOn w:val="a0"/>
    <w:link w:val="afb"/>
    <w:uiPriority w:val="99"/>
  </w:style>
  <w:style w:type="character" w:customStyle="1" w:styleId="10">
    <w:name w:val="Заголовок 1 Знак"/>
    <w:basedOn w:val="a0"/>
    <w:link w:val="1"/>
    <w:uiPriority w:val="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DEE839-D25A-4481-A7CF-BD9EB7718F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9</Pages>
  <Words>1886</Words>
  <Characters>10752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12613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user</dc:creator>
  <cp:lastModifiedBy>user</cp:lastModifiedBy>
  <cp:revision>4</cp:revision>
  <cp:lastPrinted>2025-12-19T05:14:00Z</cp:lastPrinted>
  <dcterms:created xsi:type="dcterms:W3CDTF">2025-12-19T05:20:00Z</dcterms:created>
  <dcterms:modified xsi:type="dcterms:W3CDTF">2025-12-19T06:12:00Z</dcterms:modified>
</cp:coreProperties>
</file>